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By Skylar Shyu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Github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uNID</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 Shyu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explorationists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WebGIS, etc. which are insufficient for visually interactive data exploration/visualization. More powerful data exploration tools like Spotfire not only have limitations, but also, they lack specialized diagrams/scatterplots rendering for geochemistry data analisis like Van-Krevelen,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Also, provide the users with a tool where they can interactively explore the data at different geospatial scales:  data point, oil well and basin; and different time spans: from the paleozoic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basinal data has also been obtained from the EGI project geodatabase, however, it is also possible to download it from this public source: </w:t>
      </w:r>
    </w:p>
    <w:p w14:paraId="21D1BE6B" w14:textId="77777777" w:rsidR="00C2090E" w:rsidRPr="00C2090E" w:rsidRDefault="0007348C"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Van-Krevelen diagram</w:t>
      </w:r>
      <w:r w:rsidRPr="00C2090E">
        <w:rPr>
          <w:rFonts w:ascii="Arial" w:eastAsia="Times New Roman" w:hAnsi="Arial" w:cs="Arial"/>
          <w:color w:val="000000"/>
          <w:sz w:val="21"/>
          <w:szCs w:val="21"/>
        </w:rPr>
        <w:t>: HI vs OI scatterplot (TOC encoded in plotpoint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Van-Krevelen diagram: a scatterplot to display Rock Eval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 stacked barchart: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Well-depth charts for each individual well; these would including information such TOC, Tmax,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svgs (representing charts) that can downsize and move to correct places upon clicking spots on a map svg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Download basins shapefiles, filter and convert them to geojson or topojson.</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Heavy work on implementation of any remaining chart and refine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Fix any last minute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Barmer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At first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prospectivity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d3.Albers.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 xml:space="preserve">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Van-Krevelen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Also, barcharts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(X,Y)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After these considerations of visualization redesigns, we opted to continue with our proposed 4 charts (TOC bar chart, Van Krevelen plot, inverse Van Krevelen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3F80701B"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Entry Nov. 1: </w:t>
      </w:r>
    </w:p>
    <w:p w14:paraId="634DAC22" w14:textId="02C7A137" w:rsidR="00BD6FC8" w:rsidRDefault="005110D7" w:rsidP="00C2090E">
      <w:pPr>
        <w:rPr>
          <w:rFonts w:ascii="Times New Roman" w:eastAsia="Times New Roman" w:hAnsi="Times New Roman" w:cs="Times New Roman"/>
        </w:rPr>
      </w:pPr>
      <w:r>
        <w:rPr>
          <w:rFonts w:ascii="Times New Roman" w:eastAsia="Times New Roman" w:hAnsi="Times New Roman" w:cs="Times New Roman"/>
        </w:rPr>
        <w:t>Implemented boilerplate code and basic bootstrap of the site’s page</w:t>
      </w:r>
    </w:p>
    <w:p w14:paraId="502C3F0B" w14:textId="4C7B5BF1" w:rsidR="005110D7" w:rsidRDefault="005110D7" w:rsidP="00C2090E">
      <w:pPr>
        <w:rPr>
          <w:rFonts w:ascii="Times New Roman" w:eastAsia="Times New Roman" w:hAnsi="Times New Roman" w:cs="Times New Roman"/>
        </w:rPr>
      </w:pPr>
    </w:p>
    <w:p w14:paraId="072D1B51"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Entry Nov. 3: </w:t>
      </w:r>
    </w:p>
    <w:p w14:paraId="33830950" w14:textId="4C1DC99D"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Set up initial div layers for all the components: plots, legends, map, etc. Added a dummy map. </w:t>
      </w:r>
    </w:p>
    <w:p w14:paraId="2F8FD856" w14:textId="2DCC5D1C" w:rsidR="005110D7" w:rsidRDefault="005110D7" w:rsidP="00C2090E">
      <w:pPr>
        <w:rPr>
          <w:rFonts w:ascii="Times New Roman" w:eastAsia="Times New Roman" w:hAnsi="Times New Roman" w:cs="Times New Roman"/>
        </w:rPr>
      </w:pPr>
    </w:p>
    <w:p w14:paraId="141CC32E" w14:textId="1B4CDD4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Entry Nov. 7:</w:t>
      </w:r>
    </w:p>
    <w:p w14:paraId="6ED19D7E" w14:textId="4B1E42B8"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Messed around with the basins. The zoom-in on basin selection (click) is proving to be a complete nightmare. There’s too much proportion calculations, not to mention that’s not including the transition that will need to be applied. Back to the drawing board. </w:t>
      </w:r>
    </w:p>
    <w:p w14:paraId="62F25E4A" w14:textId="77777777" w:rsidR="005110D7" w:rsidRDefault="005110D7"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297F975A" w:rsidR="001E2822" w:rsidRDefault="00BD6FC8" w:rsidP="00C2090E">
      <w:pPr>
        <w:rPr>
          <w:rFonts w:ascii="Times New Roman" w:eastAsia="Times New Roman" w:hAnsi="Times New Roman" w:cs="Times New Roman"/>
        </w:rPr>
      </w:pPr>
      <w:r>
        <w:rPr>
          <w:rFonts w:ascii="Times New Roman" w:eastAsia="Times New Roman" w:hAnsi="Times New Roman" w:cs="Times New Roman"/>
        </w:rPr>
        <w:t>Entry Nov 17 – pt2:</w:t>
      </w:r>
    </w:p>
    <w:p w14:paraId="03869953" w14:textId="0F2C2300"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Populated the div layers with formation and well names. There was some messiness with async calls, but maintaining separation of concern seems to have fixed it. </w:t>
      </w: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Entry nov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lastRenderedPageBreak/>
        <w:t>Hard to configure. Seems like it does not give the option to hard configure the bin size, it recalculates it everytime.  Most probably will implement this partially or from scratch if 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Entry nov 18</w:t>
      </w:r>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Decided that Y axis will be adaptive for values &lt;10 and fixed for values &gt; 10. Since the y axos can get too crowded. On the other hand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2692D7E" w:rsidR="004223FB" w:rsidRDefault="004223FB" w:rsidP="00C2090E">
      <w:pPr>
        <w:rPr>
          <w:rFonts w:ascii="Times New Roman" w:eastAsia="Times New Roman" w:hAnsi="Times New Roman" w:cs="Times New Roman"/>
        </w:rPr>
      </w:pPr>
    </w:p>
    <w:p w14:paraId="48033FC5" w14:textId="374C614C" w:rsidR="00DE2EC1" w:rsidRDefault="00DE2EC1" w:rsidP="00C2090E">
      <w:pPr>
        <w:rPr>
          <w:rFonts w:ascii="Times New Roman" w:eastAsia="Times New Roman" w:hAnsi="Times New Roman" w:cs="Times New Roman"/>
        </w:rPr>
      </w:pPr>
      <w:r w:rsidRPr="00DE2EC1">
        <w:rPr>
          <w:rFonts w:ascii="Times New Roman" w:eastAsia="Times New Roman" w:hAnsi="Times New Roman" w:cs="Times New Roman"/>
          <w:noProof/>
        </w:rPr>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9015"/>
                    </a:xfrm>
                    <a:prstGeom prst="rect">
                      <a:avLst/>
                    </a:prstGeom>
                  </pic:spPr>
                </pic:pic>
              </a:graphicData>
            </a:graphic>
          </wp:inline>
        </w:drawing>
      </w:r>
    </w:p>
    <w:p w14:paraId="083D7C66" w14:textId="704554ED" w:rsidR="00DE2EC1" w:rsidRDefault="00DE2EC1" w:rsidP="00C2090E">
      <w:pPr>
        <w:rPr>
          <w:rFonts w:ascii="Times New Roman" w:eastAsia="Times New Roman" w:hAnsi="Times New Roman" w:cs="Times New Roman"/>
        </w:rPr>
      </w:pPr>
      <w:r>
        <w:rPr>
          <w:rFonts w:ascii="Times New Roman" w:eastAsia="Times New Roman" w:hAnsi="Times New Roman" w:cs="Times New Roman"/>
        </w:rPr>
        <w:t>One space in the name can be recognized as different names in javscript. E.g. ‘Sligo’ and ‘Sligo ’</w:t>
      </w:r>
    </w:p>
    <w:p w14:paraId="246ED761" w14:textId="1DF20F2C" w:rsidR="004223FB" w:rsidRDefault="00DE2EC1" w:rsidP="00C2090E">
      <w:pPr>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C2090E">
      <w:pPr>
        <w:rPr>
          <w:rFonts w:ascii="Times New Roman" w:eastAsia="Times New Roman" w:hAnsi="Times New Roman" w:cs="Times New Roman"/>
        </w:rPr>
      </w:pPr>
    </w:p>
    <w:p w14:paraId="7F7286E1" w14:textId="6F640CED" w:rsidR="00DE2EC1" w:rsidRDefault="00BD6FC8" w:rsidP="00C2090E">
      <w:pPr>
        <w:rPr>
          <w:rFonts w:ascii="Times New Roman" w:eastAsia="Times New Roman" w:hAnsi="Times New Roman" w:cs="Times New Roman"/>
        </w:rPr>
      </w:pPr>
      <w:r>
        <w:rPr>
          <w:rFonts w:ascii="Times New Roman" w:eastAsia="Times New Roman" w:hAnsi="Times New Roman" w:cs="Times New Roman"/>
        </w:rPr>
        <w:t>Entry Nov. 18:</w:t>
      </w:r>
    </w:p>
    <w:p w14:paraId="45744CB9" w14:textId="68DFDE6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The axes seem a little botched for the TOC chart. Attempted to fix it, but it still seems wonky. Played with the overflow attribute to try and keep all the SVG elements visible in the div layers (for the plots)</w:t>
      </w:r>
      <w:r w:rsidR="005110D7">
        <w:rPr>
          <w:rFonts w:ascii="Times New Roman" w:eastAsia="Times New Roman" w:hAnsi="Times New Roman" w:cs="Times New Roman"/>
        </w:rPr>
        <w:t xml:space="preserve">. Expanded the map so that it’s bigger and takes up more of the screen. </w:t>
      </w:r>
    </w:p>
    <w:p w14:paraId="2D27B164" w14:textId="66CD056B" w:rsidR="00BD6FC8" w:rsidRDefault="00BD6FC8" w:rsidP="00C2090E">
      <w:pPr>
        <w:rPr>
          <w:rFonts w:ascii="Times New Roman" w:eastAsia="Times New Roman" w:hAnsi="Times New Roman" w:cs="Times New Roman"/>
        </w:rPr>
      </w:pPr>
    </w:p>
    <w:p w14:paraId="6255CDA2" w14:textId="3C23576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21:</w:t>
      </w:r>
    </w:p>
    <w:p w14:paraId="32DE09AD" w14:textId="329F8DDE"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Implemented the Van Krevelen scatterplot constructor such that a static graph with all the wells of a selected formation will appear. Also implemented the updated function such that a new chart is rendered when a different formation from the same basin or a different basin is selected. All the points look the same, meaning that it’s impossible to distinguish with formation they’re from.</w:t>
      </w:r>
    </w:p>
    <w:p w14:paraId="2E124E20" w14:textId="0F4BE3C1" w:rsidR="00BD6FC8" w:rsidRDefault="00BD6FC8" w:rsidP="00C2090E">
      <w:pPr>
        <w:rPr>
          <w:rFonts w:ascii="Times New Roman" w:eastAsia="Times New Roman" w:hAnsi="Times New Roman" w:cs="Times New Roman"/>
        </w:rPr>
      </w:pPr>
    </w:p>
    <w:p w14:paraId="6D6D0ED5" w14:textId="66CC2F3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Also implemented the Inverse Krevelen plot</w:t>
      </w:r>
      <w:r w:rsidR="005B4CF5">
        <w:rPr>
          <w:rFonts w:ascii="Times New Roman" w:eastAsia="Times New Roman" w:hAnsi="Times New Roman" w:cs="Times New Roman"/>
        </w:rPr>
        <w:t xml:space="preserve"> such that it’s at the same stage as the Van Krevelen plot. Also figured out how to use the </w:t>
      </w:r>
      <w:r w:rsidR="005B4CF5" w:rsidRPr="005B4CF5">
        <w:rPr>
          <w:rFonts w:ascii="Times New Roman" w:eastAsia="Times New Roman" w:hAnsi="Times New Roman" w:cs="Times New Roman"/>
          <w:i/>
        </w:rPr>
        <w:t>transition()</w:t>
      </w:r>
      <w:r w:rsidR="005B4CF5">
        <w:rPr>
          <w:rFonts w:ascii="Times New Roman" w:eastAsia="Times New Roman" w:hAnsi="Times New Roman" w:cs="Times New Roman"/>
        </w:rPr>
        <w:t xml:space="preserve"> method to </w:t>
      </w:r>
      <w:r w:rsidR="005B4CF5" w:rsidRPr="005B4CF5">
        <w:rPr>
          <w:rFonts w:ascii="Times New Roman" w:eastAsia="Times New Roman" w:hAnsi="Times New Roman" w:cs="Times New Roman"/>
          <w:i/>
        </w:rPr>
        <w:t>append()</w:t>
      </w:r>
      <w:r w:rsidR="005B4CF5">
        <w:rPr>
          <w:rFonts w:ascii="Times New Roman" w:eastAsia="Times New Roman" w:hAnsi="Times New Roman" w:cs="Times New Roman"/>
        </w:rPr>
        <w:t xml:space="preserve"> and </w:t>
      </w:r>
      <w:r w:rsidR="005B4CF5" w:rsidRPr="005B4CF5">
        <w:rPr>
          <w:rFonts w:ascii="Times New Roman" w:eastAsia="Times New Roman" w:hAnsi="Times New Roman" w:cs="Times New Roman"/>
          <w:i/>
        </w:rPr>
        <w:t>remove()</w:t>
      </w:r>
      <w:r w:rsidR="005B4CF5">
        <w:rPr>
          <w:rFonts w:ascii="Times New Roman" w:eastAsia="Times New Roman" w:hAnsi="Times New Roman" w:cs="Times New Roman"/>
        </w:rPr>
        <w:t xml:space="preserve"> datapoints when toggling between formations, as well as rescaling the axis such that the plot points are all displayed properly.</w:t>
      </w:r>
    </w:p>
    <w:p w14:paraId="15FBEA3A" w14:textId="7C556E2F" w:rsidR="00BD6FC8" w:rsidRDefault="00BD6FC8" w:rsidP="00C2090E">
      <w:pPr>
        <w:rPr>
          <w:rFonts w:ascii="Times New Roman" w:eastAsia="Times New Roman" w:hAnsi="Times New Roman" w:cs="Times New Roman"/>
        </w:rPr>
      </w:pPr>
    </w:p>
    <w:p w14:paraId="74710D56" w14:textId="74D5F9D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24:</w:t>
      </w:r>
    </w:p>
    <w:p w14:paraId="4FDEB267" w14:textId="186EAEF5"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Potential plot. There was a bit of data wrangling involved since the y-axis is </w:t>
      </w:r>
      <w:r w:rsidR="005B4CF5">
        <w:rPr>
          <w:rFonts w:ascii="Times New Roman" w:eastAsia="Times New Roman" w:hAnsi="Times New Roman" w:cs="Times New Roman"/>
        </w:rPr>
        <w:t>the</w:t>
      </w:r>
      <w:r>
        <w:rPr>
          <w:rFonts w:ascii="Times New Roman" w:eastAsia="Times New Roman" w:hAnsi="Times New Roman" w:cs="Times New Roman"/>
        </w:rPr>
        <w:t xml:space="preserve"> sum of two data elements (S1 and S2), but very doable and easy. I ended up appending the sum as another data element so we don’t have to keep recalculating it.</w:t>
      </w:r>
    </w:p>
    <w:p w14:paraId="66B2D585" w14:textId="77777777" w:rsidR="00BD6FC8" w:rsidRDefault="00BD6FC8" w:rsidP="00C2090E">
      <w:pPr>
        <w:rPr>
          <w:rFonts w:ascii="Times New Roman" w:eastAsia="Times New Roman" w:hAnsi="Times New Roman" w:cs="Times New Roman"/>
        </w:rPr>
      </w:pPr>
    </w:p>
    <w:p w14:paraId="18556536" w14:textId="389A9635" w:rsidR="00BD6FC8"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Entry Nov.25: </w:t>
      </w:r>
    </w:p>
    <w:p w14:paraId="1D8135D7" w14:textId="00FB30A2" w:rsidR="005B4CF5" w:rsidRDefault="005B4CF5" w:rsidP="00C2090E">
      <w:pPr>
        <w:rPr>
          <w:rFonts w:ascii="Times New Roman" w:eastAsia="Times New Roman" w:hAnsi="Times New Roman" w:cs="Times New Roman"/>
        </w:rPr>
      </w:pPr>
    </w:p>
    <w:p w14:paraId="374CDC9F" w14:textId="77777777" w:rsidR="005B4CF5" w:rsidRDefault="005B4CF5" w:rsidP="00C2090E">
      <w:pPr>
        <w:rPr>
          <w:rFonts w:ascii="Times New Roman" w:eastAsia="Times New Roman" w:hAnsi="Times New Roman" w:cs="Times New Roman"/>
        </w:rPr>
      </w:pPr>
      <w:r>
        <w:rPr>
          <w:rFonts w:ascii="Times New Roman" w:eastAsia="Times New Roman" w:hAnsi="Times New Roman" w:cs="Times New Roman"/>
        </w:rPr>
        <w:t>Skylar is pulling an all-nighter on this. Since the Van Krevelen, Inverse Van Krevelen, and Potential plots are all scatterplots and are at the same stage in terms of progress, everything described in his entry will apply to all three graphs:</w:t>
      </w:r>
    </w:p>
    <w:p w14:paraId="6EF6ED31" w14:textId="0D13FDD6"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Figured out the color scale for each formation! </w:t>
      </w:r>
      <w:r w:rsidRPr="005B4CF5">
        <w:rPr>
          <w:rFonts w:ascii="Times New Roman" w:eastAsia="Times New Roman" w:hAnsi="Times New Roman" w:cs="Times New Roman"/>
          <w:i/>
        </w:rPr>
        <w:t>d3.schemePastel1</w:t>
      </w:r>
      <w:r>
        <w:rPr>
          <w:rFonts w:ascii="Times New Roman" w:eastAsia="Times New Roman" w:hAnsi="Times New Roman" w:cs="Times New Roman"/>
        </w:rPr>
        <w:t xml:space="preserve"> it is. Originally, I wanted </w:t>
      </w:r>
      <w:r w:rsidRPr="005B4CF5">
        <w:rPr>
          <w:rFonts w:ascii="Times New Roman" w:eastAsia="Times New Roman" w:hAnsi="Times New Roman" w:cs="Times New Roman"/>
          <w:i/>
        </w:rPr>
        <w:t>d3.schemePastel1</w:t>
      </w:r>
      <w:r>
        <w:rPr>
          <w:rFonts w:ascii="Times New Roman" w:eastAsia="Times New Roman" w:hAnsi="Times New Roman" w:cs="Times New Roman"/>
        </w:rPr>
        <w:t xml:space="preserve"> as the ‘unselected’ color and </w:t>
      </w:r>
      <w:r w:rsidRPr="005B4CF5">
        <w:rPr>
          <w:rFonts w:ascii="Times New Roman" w:eastAsia="Times New Roman" w:hAnsi="Times New Roman" w:cs="Times New Roman"/>
          <w:i/>
        </w:rPr>
        <w:t>d3.schemeSet1</w:t>
      </w:r>
      <w:r>
        <w:rPr>
          <w:rFonts w:ascii="Times New Roman" w:eastAsia="Times New Roman" w:hAnsi="Times New Roman" w:cs="Times New Roman"/>
        </w:rPr>
        <w:t xml:space="preserve"> as the ‘selectedColor’. Ended up forgoing the latter and instead implemented opacity and stroke-color when it comes to accenting the points that are associated with the user’s formation selection.</w:t>
      </w:r>
    </w:p>
    <w:p w14:paraId="52FDC119" w14:textId="3A59E101" w:rsidR="005B4CF5" w:rsidRDefault="005B4CF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This also extends to the formations legend. Unselected formations </w:t>
      </w:r>
      <w:r w:rsidR="00D01D95">
        <w:rPr>
          <w:rFonts w:ascii="Times New Roman" w:eastAsia="Times New Roman" w:hAnsi="Times New Roman" w:cs="Times New Roman"/>
        </w:rPr>
        <w:t xml:space="preserve">will have the legend slightly faded, while selected formations will have the circle’s stroke changed from gray to black for emphasis. </w:t>
      </w:r>
    </w:p>
    <w:p w14:paraId="2519A96C" w14:textId="526F0D75" w:rsidR="00D01D95" w:rsidRDefault="00D01D9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Clicking once on a formation selects it. Clicking it again deselects it. </w:t>
      </w:r>
    </w:p>
    <w:p w14:paraId="3B677030" w14:textId="15C24FBA"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There was a formation with 300 datasets. Today Skylar has learned that no matter how low the fill opacity is dialed down on a plot point, piling 100+ of them where they all somewhat overlap essentially nullifies the whole opacity effect. In the end, the selected elements were just brought to the front using d3’s </w:t>
      </w:r>
      <w:r w:rsidRPr="005B4CF5">
        <w:rPr>
          <w:rFonts w:ascii="Times New Roman" w:eastAsia="Times New Roman" w:hAnsi="Times New Roman" w:cs="Times New Roman"/>
          <w:i/>
        </w:rPr>
        <w:t>selection.raise()</w:t>
      </w:r>
      <w:r>
        <w:rPr>
          <w:rFonts w:ascii="Times New Roman" w:eastAsia="Times New Roman" w:hAnsi="Times New Roman" w:cs="Times New Roman"/>
        </w:rPr>
        <w:t xml:space="preserve"> method.</w:t>
      </w:r>
    </w:p>
    <w:p w14:paraId="08EADEEE" w14:textId="330F6BC7"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Implemented the formation selection! Both the lists for Formations and Wells were unordered lists. They’ve been both replaced with tables and rows. This allows easier manipulation of CSS (padding, margins, etc.), not to mention implementation of the formation legend is so much easier. </w:t>
      </w:r>
    </w:p>
    <w:p w14:paraId="71A67613" w14:textId="071807A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Fixed the axes for the scatterplots. There used to be a weird little gap between the x-axis and y-axis— said gap has been eliminated and now it looks like a proper axis.  </w:t>
      </w:r>
      <w:r w:rsidR="00D01D95">
        <w:rPr>
          <w:rFonts w:ascii="Times New Roman" w:eastAsia="Times New Roman" w:hAnsi="Times New Roman" w:cs="Times New Roman"/>
        </w:rPr>
        <w:t xml:space="preserve">This lead me to playing around with the parameters passed to the axes’ </w:t>
      </w:r>
      <w:r w:rsidR="00D01D95" w:rsidRPr="00D01D95">
        <w:rPr>
          <w:rFonts w:ascii="Times New Roman" w:eastAsia="Times New Roman" w:hAnsi="Times New Roman" w:cs="Times New Roman"/>
          <w:i/>
        </w:rPr>
        <w:t>transform()</w:t>
      </w:r>
      <w:r w:rsidR="00D01D95">
        <w:rPr>
          <w:rFonts w:ascii="Times New Roman" w:eastAsia="Times New Roman" w:hAnsi="Times New Roman" w:cs="Times New Roman"/>
          <w:i/>
        </w:rPr>
        <w:t xml:space="preserve"> </w:t>
      </w:r>
      <w:r w:rsidR="00D01D95">
        <w:rPr>
          <w:rFonts w:ascii="Times New Roman" w:eastAsia="Times New Roman" w:hAnsi="Times New Roman" w:cs="Times New Roman"/>
        </w:rPr>
        <w:t xml:space="preserve">call. I had a difficult time abstaining from hardcoding dimensions such as height, width, and margins. In the end, I just set the height to be the height of the window and took a certain percentage of that; same goes for the width. </w:t>
      </w:r>
    </w:p>
    <w:p w14:paraId="5D4CCAB9" w14:textId="6FBE2ED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Added gridlines</w:t>
      </w:r>
      <w:r w:rsidR="00D01D95">
        <w:rPr>
          <w:rFonts w:ascii="Times New Roman" w:eastAsia="Times New Roman" w:hAnsi="Times New Roman" w:cs="Times New Roman"/>
        </w:rPr>
        <w:t xml:space="preserve"> and axis labels</w:t>
      </w:r>
      <w:r>
        <w:rPr>
          <w:rFonts w:ascii="Times New Roman" w:eastAsia="Times New Roman" w:hAnsi="Times New Roman" w:cs="Times New Roman"/>
        </w:rPr>
        <w:t xml:space="preserve">! </w:t>
      </w:r>
      <w:r w:rsidR="00D01D95">
        <w:rPr>
          <w:rFonts w:ascii="Times New Roman" w:eastAsia="Times New Roman" w:hAnsi="Times New Roman" w:cs="Times New Roman"/>
        </w:rPr>
        <w:t xml:space="preserve">Pretty much followed the same recipe for the axes. Didn’t know that rotating &lt;text&gt; elements was a thing.  </w:t>
      </w:r>
    </w:p>
    <w:p w14:paraId="3E8D626F" w14:textId="6309E8EC" w:rsidR="00D01D95" w:rsidRDefault="00D01D95" w:rsidP="00D01D95">
      <w:pPr>
        <w:rPr>
          <w:rFonts w:ascii="Times New Roman" w:eastAsia="Times New Roman" w:hAnsi="Times New Roman" w:cs="Times New Roman"/>
        </w:rPr>
      </w:pPr>
    </w:p>
    <w:p w14:paraId="0E399E86" w14:textId="608DD8C1" w:rsidR="00D01D95" w:rsidRDefault="00D01D95" w:rsidP="00D01D95">
      <w:pPr>
        <w:rPr>
          <w:rFonts w:ascii="Times New Roman" w:eastAsia="Times New Roman" w:hAnsi="Times New Roman" w:cs="Times New Roman"/>
        </w:rPr>
      </w:pPr>
      <w:r>
        <w:rPr>
          <w:rFonts w:ascii="Times New Roman" w:eastAsia="Times New Roman" w:hAnsi="Times New Roman" w:cs="Times New Roman"/>
        </w:rPr>
        <w:t xml:space="preserve">Outside of the three scatterplots, toggling between the two ‘screens’ has been implemented and is working. It was done changing the </w:t>
      </w:r>
      <w:r w:rsidRPr="00D01D95">
        <w:rPr>
          <w:rFonts w:ascii="Times New Roman" w:eastAsia="Times New Roman" w:hAnsi="Times New Roman" w:cs="Times New Roman"/>
          <w:i/>
        </w:rPr>
        <w:t>style=”display: value”</w:t>
      </w:r>
      <w:r>
        <w:rPr>
          <w:rFonts w:ascii="Times New Roman" w:eastAsia="Times New Roman" w:hAnsi="Times New Roman" w:cs="Times New Roman"/>
        </w:rPr>
        <w:t xml:space="preserve"> attribute for screen1 and screen2. When </w:t>
      </w:r>
      <w:r w:rsidRPr="00D01D95">
        <w:rPr>
          <w:rFonts w:ascii="Times New Roman" w:eastAsia="Times New Roman" w:hAnsi="Times New Roman" w:cs="Times New Roman"/>
          <w:i/>
        </w:rPr>
        <w:t>value = none</w:t>
      </w:r>
      <w:r>
        <w:rPr>
          <w:rFonts w:ascii="Times New Roman" w:eastAsia="Times New Roman" w:hAnsi="Times New Roman" w:cs="Times New Roman"/>
        </w:rPr>
        <w:t xml:space="preserve">, the div layer will be hidden; when it’s </w:t>
      </w:r>
      <w:r w:rsidRPr="00D01D95">
        <w:rPr>
          <w:rFonts w:ascii="Times New Roman" w:eastAsia="Times New Roman" w:hAnsi="Times New Roman" w:cs="Times New Roman"/>
          <w:i/>
        </w:rPr>
        <w:t>block</w:t>
      </w:r>
      <w:r>
        <w:rPr>
          <w:rFonts w:ascii="Times New Roman" w:eastAsia="Times New Roman" w:hAnsi="Times New Roman" w:cs="Times New Roman"/>
        </w:rPr>
        <w:t xml:space="preserve">, the div layer will be displayed. </w:t>
      </w:r>
    </w:p>
    <w:p w14:paraId="3CC147FE" w14:textId="5DF3B9FB" w:rsidR="002B5208" w:rsidRDefault="002B5208" w:rsidP="00D01D95">
      <w:pPr>
        <w:rPr>
          <w:rFonts w:ascii="Times New Roman" w:eastAsia="Times New Roman" w:hAnsi="Times New Roman" w:cs="Times New Roman"/>
        </w:rPr>
      </w:pPr>
    </w:p>
    <w:p w14:paraId="6A32C2CC" w14:textId="3567E4E6"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Entry Nov. 27:</w:t>
      </w:r>
    </w:p>
    <w:p w14:paraId="6DC523E5" w14:textId="4384E65D"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 xml:space="preserve">Stylized the tooltip for basin-hovering! D3’s tooltip library was proving to be a bit challenging, so I decided to implement my own. Also tried to extend the use of tooltips to the van Krev plot. It’s promising, but I need to figure out how to unbind events when certain formations are deselected.  </w:t>
      </w:r>
    </w:p>
    <w:p w14:paraId="3CC42E09" w14:textId="4F9C5525" w:rsidR="00FB1E8C" w:rsidRDefault="00FB1E8C" w:rsidP="00D01D95">
      <w:pPr>
        <w:rPr>
          <w:rFonts w:ascii="Times New Roman" w:eastAsia="Times New Roman" w:hAnsi="Times New Roman" w:cs="Times New Roman"/>
        </w:rPr>
      </w:pPr>
    </w:p>
    <w:p w14:paraId="3B7B466E" w14:textId="0349C993" w:rsidR="0007348C" w:rsidRDefault="0007348C" w:rsidP="00D01D95">
      <w:pPr>
        <w:rPr>
          <w:rFonts w:ascii="Times New Roman" w:eastAsia="Times New Roman" w:hAnsi="Times New Roman" w:cs="Times New Roman"/>
        </w:rPr>
      </w:pPr>
    </w:p>
    <w:p w14:paraId="40C6B730" w14:textId="1468BB31" w:rsidR="0007348C" w:rsidRDefault="0007348C" w:rsidP="00D01D95">
      <w:pPr>
        <w:rPr>
          <w:rFonts w:ascii="Times New Roman" w:eastAsia="Times New Roman" w:hAnsi="Times New Roman" w:cs="Times New Roman"/>
        </w:rPr>
      </w:pPr>
      <w:bookmarkStart w:id="0" w:name="_GoBack"/>
      <w:r w:rsidRPr="0007348C">
        <w:rPr>
          <w:rFonts w:ascii="Times New Roman" w:eastAsia="Times New Roman" w:hAnsi="Times New Roman" w:cs="Times New Roman"/>
        </w:rPr>
        <w:lastRenderedPageBreak/>
        <w:drawing>
          <wp:inline distT="0" distB="0" distL="0" distR="0" wp14:anchorId="2D168F05" wp14:editId="5691048F">
            <wp:extent cx="5943600" cy="3926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26205"/>
                    </a:xfrm>
                    <a:prstGeom prst="rect">
                      <a:avLst/>
                    </a:prstGeom>
                  </pic:spPr>
                </pic:pic>
              </a:graphicData>
            </a:graphic>
          </wp:inline>
        </w:drawing>
      </w:r>
      <w:bookmarkEnd w:id="0"/>
    </w:p>
    <w:p w14:paraId="10E20718" w14:textId="56540FC3" w:rsidR="0007348C" w:rsidRDefault="0007348C" w:rsidP="00D01D95">
      <w:pPr>
        <w:rPr>
          <w:rFonts w:ascii="Times New Roman" w:eastAsia="Times New Roman" w:hAnsi="Times New Roman" w:cs="Times New Roman"/>
        </w:rPr>
      </w:pPr>
    </w:p>
    <w:p w14:paraId="71ED7DBC" w14:textId="5BB96214" w:rsidR="0007348C" w:rsidRDefault="0007348C" w:rsidP="00D01D95">
      <w:pPr>
        <w:rPr>
          <w:rFonts w:ascii="Times New Roman" w:eastAsia="Times New Roman" w:hAnsi="Times New Roman" w:cs="Times New Roman"/>
        </w:rPr>
      </w:pPr>
      <w:r>
        <w:rPr>
          <w:rFonts w:ascii="Times New Roman" w:eastAsia="Times New Roman" w:hAnsi="Times New Roman" w:cs="Times New Roman"/>
        </w:rPr>
        <w:t>Change color of highlight</w:t>
      </w:r>
    </w:p>
    <w:p w14:paraId="1EAE2015" w14:textId="19119282" w:rsidR="0007348C" w:rsidRDefault="0007348C" w:rsidP="00D01D95">
      <w:pPr>
        <w:rPr>
          <w:rFonts w:ascii="Times New Roman" w:eastAsia="Times New Roman" w:hAnsi="Times New Roman" w:cs="Times New Roman"/>
        </w:rPr>
      </w:pPr>
    </w:p>
    <w:p w14:paraId="522E46A3" w14:textId="77777777" w:rsidR="0007348C" w:rsidRDefault="0007348C" w:rsidP="00D01D95">
      <w:pPr>
        <w:rPr>
          <w:rFonts w:ascii="Times New Roman" w:eastAsia="Times New Roman" w:hAnsi="Times New Roman" w:cs="Times New Roman"/>
        </w:rPr>
      </w:pPr>
    </w:p>
    <w:p w14:paraId="03816D39" w14:textId="77777777" w:rsidR="0007348C" w:rsidRPr="00D01D95" w:rsidRDefault="0007348C" w:rsidP="00D01D95">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8D56320" w14:textId="1C4ACB77" w:rsidR="00E90D02" w:rsidRDefault="00E90D02" w:rsidP="00C2090E">
      <w:pPr>
        <w:rPr>
          <w:rFonts w:ascii="Arial" w:eastAsia="Times New Roman" w:hAnsi="Arial" w:cs="Arial"/>
          <w:color w:val="000000"/>
          <w:sz w:val="21"/>
          <w:szCs w:val="21"/>
          <w:shd w:val="clear" w:color="auto" w:fill="FFFFFF"/>
        </w:rPr>
      </w:pPr>
      <w:r>
        <w:rPr>
          <w:rFonts w:ascii="Arial" w:eastAsia="Times New Roman" w:hAnsi="Arial" w:cs="Arial"/>
          <w:color w:val="000000"/>
          <w:sz w:val="21"/>
          <w:szCs w:val="21"/>
          <w:shd w:val="clear" w:color="auto" w:fill="FFFFFF"/>
        </w:rPr>
        <w:t xml:space="preserve">We learned that the data can have many ways to look at it, and deciding which way is the best to display it takes time and a constant and ongoing redesign approach. We answered the questions by giving the user the power of filter and aggregate the data of the formation the user was interested in. </w:t>
      </w:r>
    </w:p>
    <w:p w14:paraId="34B01E06" w14:textId="77777777" w:rsidR="00E90D02" w:rsidRDefault="00E90D02" w:rsidP="00C2090E">
      <w:pPr>
        <w:rPr>
          <w:rFonts w:ascii="Arial" w:eastAsia="Times New Roman" w:hAnsi="Arial" w:cs="Arial"/>
          <w:color w:val="000000"/>
          <w:sz w:val="21"/>
          <w:szCs w:val="21"/>
          <w:shd w:val="clear" w:color="auto" w:fill="FFFFFF"/>
        </w:rPr>
      </w:pPr>
    </w:p>
    <w:p w14:paraId="5998F4A7" w14:textId="53956834" w:rsidR="00C2090E" w:rsidRPr="00C2090E" w:rsidRDefault="00E90D02" w:rsidP="00C2090E">
      <w:pPr>
        <w:rPr>
          <w:rFonts w:ascii="Times New Roman" w:eastAsia="Times New Roman" w:hAnsi="Times New Roman" w:cs="Times New Roman"/>
        </w:rPr>
      </w:pPr>
      <w:r>
        <w:rPr>
          <w:rFonts w:ascii="Arial" w:eastAsia="Times New Roman" w:hAnsi="Arial" w:cs="Arial"/>
          <w:color w:val="000000"/>
          <w:sz w:val="21"/>
          <w:szCs w:val="21"/>
          <w:shd w:val="clear" w:color="auto" w:fill="FFFFFF"/>
        </w:rPr>
        <w:t xml:space="preserve">We would further improve the visualization by adding synchrony across plots. Also, adding a deeper layer of visualization (by </w:t>
      </w:r>
      <w:r w:rsidR="00EE0B7B">
        <w:rPr>
          <w:rFonts w:ascii="Arial" w:eastAsia="Times New Roman" w:hAnsi="Arial" w:cs="Arial"/>
          <w:color w:val="000000"/>
          <w:sz w:val="21"/>
          <w:szCs w:val="21"/>
          <w:shd w:val="clear" w:color="auto" w:fill="FFFFFF"/>
        </w:rPr>
        <w:t>including a</w:t>
      </w:r>
      <w:r>
        <w:rPr>
          <w:rFonts w:ascii="Arial" w:eastAsia="Times New Roman" w:hAnsi="Arial" w:cs="Arial"/>
          <w:color w:val="000000"/>
          <w:sz w:val="21"/>
          <w:szCs w:val="21"/>
          <w:shd w:val="clear" w:color="auto" w:fill="FFFFFF"/>
        </w:rPr>
        <w:t xml:space="preserve"> depth chart)</w:t>
      </w:r>
      <w:r w:rsidR="00EE0B7B">
        <w:rPr>
          <w:rFonts w:ascii="Arial" w:eastAsia="Times New Roman" w:hAnsi="Arial" w:cs="Arial"/>
          <w:color w:val="000000"/>
          <w:sz w:val="21"/>
          <w:szCs w:val="21"/>
          <w:shd w:val="clear" w:color="auto" w:fill="FFFFFF"/>
        </w:rPr>
        <w:t xml:space="preserve"> in which a user would be able to see the data </w:t>
      </w:r>
      <w:r w:rsidR="008B1319">
        <w:rPr>
          <w:rFonts w:ascii="Arial" w:eastAsia="Times New Roman" w:hAnsi="Arial" w:cs="Arial"/>
          <w:color w:val="000000"/>
          <w:sz w:val="21"/>
          <w:szCs w:val="21"/>
          <w:shd w:val="clear" w:color="auto" w:fill="FFFFFF"/>
        </w:rPr>
        <w:t xml:space="preserve">spatially </w:t>
      </w:r>
      <w:r w:rsidR="00EE0B7B">
        <w:rPr>
          <w:rFonts w:ascii="Arial" w:eastAsia="Times New Roman" w:hAnsi="Arial" w:cs="Arial"/>
          <w:color w:val="000000"/>
          <w:sz w:val="21"/>
          <w:szCs w:val="21"/>
          <w:shd w:val="clear" w:color="auto" w:fill="FFFFFF"/>
        </w:rPr>
        <w:t>at a well level</w:t>
      </w:r>
      <w:r>
        <w:rPr>
          <w:rFonts w:ascii="Arial" w:eastAsia="Times New Roman" w:hAnsi="Arial" w:cs="Arial"/>
          <w:color w:val="000000"/>
          <w:sz w:val="21"/>
          <w:szCs w:val="21"/>
          <w:shd w:val="clear" w:color="auto" w:fill="FFFFFF"/>
        </w:rPr>
        <w:t>.</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07348C"/>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83828"/>
    <w:multiLevelType w:val="hybridMultilevel"/>
    <w:tmpl w:val="0D32A79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8"/>
  </w:num>
  <w:num w:numId="4">
    <w:abstractNumId w:val="0"/>
  </w:num>
  <w:num w:numId="5">
    <w:abstractNumId w:val="3"/>
  </w:num>
  <w:num w:numId="6">
    <w:abstractNumId w:val="4"/>
  </w:num>
  <w:num w:numId="7">
    <w:abstractNumId w:val="2"/>
  </w:num>
  <w:num w:numId="8">
    <w:abstractNumId w:val="7"/>
  </w:num>
  <w:num w:numId="9">
    <w:abstractNumId w:val="13"/>
  </w:num>
  <w:num w:numId="10">
    <w:abstractNumId w:val="6"/>
  </w:num>
  <w:num w:numId="11">
    <w:abstractNumId w:val="11"/>
  </w:num>
  <w:num w:numId="12">
    <w:abstractNumId w:val="12"/>
  </w:num>
  <w:num w:numId="13">
    <w:abstractNumId w:val="9"/>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07348C"/>
    <w:rsid w:val="001E2822"/>
    <w:rsid w:val="00210915"/>
    <w:rsid w:val="002B5208"/>
    <w:rsid w:val="002E6BC2"/>
    <w:rsid w:val="003E33A0"/>
    <w:rsid w:val="004223FB"/>
    <w:rsid w:val="004827DC"/>
    <w:rsid w:val="005110D7"/>
    <w:rsid w:val="005B4CF5"/>
    <w:rsid w:val="00676D02"/>
    <w:rsid w:val="008B1319"/>
    <w:rsid w:val="008C2343"/>
    <w:rsid w:val="00B14159"/>
    <w:rsid w:val="00BD6FC8"/>
    <w:rsid w:val="00C2090E"/>
    <w:rsid w:val="00C36240"/>
    <w:rsid w:val="00D01D95"/>
    <w:rsid w:val="00D11221"/>
    <w:rsid w:val="00D124CF"/>
    <w:rsid w:val="00DE2EC1"/>
    <w:rsid w:val="00E90D02"/>
    <w:rsid w:val="00EE0B7B"/>
    <w:rsid w:val="00FB1E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 w:type="paragraph" w:styleId="ListParagraph">
    <w:name w:val="List Paragraph"/>
    <w:basedOn w:val="Normal"/>
    <w:uiPriority w:val="34"/>
    <w:qFormat/>
    <w:rsid w:val="005B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26</Pages>
  <Words>4089</Words>
  <Characters>23313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17</cp:revision>
  <dcterms:created xsi:type="dcterms:W3CDTF">2018-11-10T06:47:00Z</dcterms:created>
  <dcterms:modified xsi:type="dcterms:W3CDTF">2018-11-30T03:06:00Z</dcterms:modified>
</cp:coreProperties>
</file>